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51 BaySchFG (Bayern) — Vorkurse an Spätberufenengymnasien</w:t>
      </w:r>
    </w:p>
    <w:p>
      <w:r>
        <w:rPr>
          <w:color w:val="555555"/>
          <w:sz w:val="18"/>
        </w:rPr>
        <w:t xml:space="preserve">Bayerisches Schulfinanzierungsgesetz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 Spätberufenengymnasien, die am 1. Januar 1987 als solche in kirchlicher Trägerschaft standen, werden Vorkurse auch weiterhin in die Förderung nach Art. 38 bis 40 und 46 einbezogen.</w:t>
      </w:r>
    </w:p>
    <w:p>
      <w:r>
        <w:rPr>
          <w:color w:val="555555"/>
          <w:sz w:val="17"/>
        </w:rPr>
        <w:t xml:space="preserve">Zitiervorschlag: Art 51 BaySchFG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https://recht.nulegal.eu/gesetze/BaySchFG/51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