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36 BaySchFG (Bayern) — Heime und ähnliche Einrichtungen bei privaten Förderschulen</w:t>
      </w:r>
    </w:p>
    <w:p>
      <w:r>
        <w:rPr>
          <w:color w:val="555555"/>
          <w:sz w:val="18"/>
        </w:rPr>
        <w:t xml:space="preserve">Bayerisches Schulfinanzierungsgesetz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Art. 24 Abs. 1 und Art. 25 finden entsprechende Anwendung. Für die Neu-, Um- und Erweiterungsbauten privater, auf gemeinnütziger Grundlage wirkender Träger gewährt der Staat Finanzhilfen im Rahmen der jährlich im Staatshaushalt bereitgestellten Mittel.</w:t>
      </w:r>
    </w:p>
    <w:p>
      <w:r>
        <w:rPr>
          <w:color w:val="555555"/>
          <w:sz w:val="17"/>
        </w:rPr>
        <w:t xml:space="preserve">Zitiervorschlag: Art 36 BaySchFG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https://recht.nulegal.eu/gesetze/BaySchFG/36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