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BaySchFG (Bayern) — Staatliche Förderung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Ersatzschulen werden nach Maßgabe dieses Gesetzes auf Antrag des Schulträgers staatlich gefördert.</w:t>
      </w:r>
    </w:p>
    <w:p>
      <w:r>
        <w:t xml:space="preserve">(2) Staatliche Förderung erhalten nur Schulen, die von juristischen Personen des öffentlichen oder privaten Rechts betrieben werden und auf gemeinnütziger Grundlage wirken. Dazu gehören auch kirchliche Rechtsträger einschließlich derjenigen gemäß Art. 9 des Bayerischen Konkordats mit dem Heiligen Stuhl vom 29. März 1924 und Art. 13 des Vertrages zwischen dem Bayerischen Staat und der Evangelisch-Lutherischen Kirche in Bayern rechts des Rheins vom 15. November 1924.</w:t>
      </w:r>
    </w:p>
    <w:p>
      <w:r>
        <w:t xml:space="preserve">(3) Eine Förderung entfällt für die nach Maßgabe dieses Gesetzes förderfähigen Lehrer- bzw. Unterrichtswochenstunden, die von Lehrkräften erbracht werden, deren wirtschaftliche und rechtliche Stellung nicht nach Art. 97 Abs. 1 BayEUG genügend gesichert ist.</w:t>
      </w:r>
    </w:p>
    <w:p>
      <w:r>
        <w:t xml:space="preserve">(4) Die zuständige Bewilligungsbehörde kann den Schulträgern zur Auflage machen, Verwendungsnachweise sowie Gewinn- und Verlustrechnungen vorzulegen, aus denen die jährlichen Einnahmen und Ausgaben der Schulen ersichtlich sind.</w:t>
      </w:r>
    </w:p>
    <w:p>
      <w:r>
        <w:rPr>
          <w:color w:val="555555"/>
          <w:sz w:val="17"/>
        </w:rPr>
        <w:t xml:space="preserve">Zitiervorschlag: Art 29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