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BaySchFG (Bayern) — Errichtung von Heimen und ähnlichen Einrichtungen, Finanzhilfen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Träger des Schulaufwands der Schule hat die notwendigen Einrichtungen für Heime und ähnliche Einrichtungen nach Art. 108 BayEUG bereitzustellen und den Personal- und Sachbedarf aufzubringen, soweit nicht ein anderer Träger hierfür aufkommt.</w:t>
      </w:r>
    </w:p>
    <w:p>
      <w:r>
        <w:t xml:space="preserve">(2) Für die notwendigen Neu-, Um- und Erweiterungsbauten von Heimen oder ähnlichen Einrichtungen gewährt der Staat Finanzhilfen im Rahmen der jährlich im Staatshaushalt bereitgestellten Mittel.</w:t>
      </w:r>
    </w:p>
    <w:p>
      <w:r>
        <w:rPr>
          <w:color w:val="555555"/>
          <w:sz w:val="17"/>
        </w:rPr>
        <w:t xml:space="preserve">Zitiervorschlag: Art 24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