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15 BaySchFG (Bayern) — Träger des Personalaufwands und des Schulaufwands</w:t>
      </w:r>
    </w:p>
    <w:p>
      <w:r>
        <w:rPr>
          <w:color w:val="555555"/>
          <w:sz w:val="18"/>
        </w:rPr>
        <w:t xml:space="preserve">Bayerisches Schulfinanzierungsgesetz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kommunale Körperschaft, die Dienstherr des Lehrpersonals ist, trägt den Personalaufwand und den Schulaufwand.</w:t>
      </w:r>
    </w:p>
    <w:p>
      <w:r>
        <w:rPr>
          <w:color w:val="555555"/>
          <w:sz w:val="17"/>
        </w:rPr>
        <w:t xml:space="preserve">Zitiervorschlag: Art 15 BaySchFG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https://recht.nulegal.eu/gesetze/BaySchFG/15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