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BaySachbezV (Bayern)</w:t>
      </w:r>
    </w:p>
    <w:p>
      <w:r>
        <w:rPr>
          <w:color w:val="555555"/>
          <w:sz w:val="18"/>
        </w:rPr>
        <w:t xml:space="preserve">Bayerische Sachbezugsverordnung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11 des Bayerischen Besoldungsgesetzes (BayBesG) vom 5. August 2010 (GVBl S. 410, 764, BayRS 2032-1-1-F), geändert durch Art. 15 des Gesetzes vom 14. April 2011 (GVBl S. 150),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BaySachbezV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https://recht.nulegal.eu/gesetze/BaySachbezV/eingangsformel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