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BaySachbezV (Bayern) — Inkrafttreten</w:t>
      </w:r>
    </w:p>
    <w:p>
      <w:r>
        <w:rPr>
          <w:color w:val="555555"/>
          <w:sz w:val="18"/>
        </w:rPr>
        <w:t xml:space="preserve">Bayerische Sachbezugsverordnung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2011 in Kraft.</w:t>
      </w:r>
    </w:p>
    <w:p>
      <w:r>
        <w:rPr>
          <w:color w:val="555555"/>
          <w:sz w:val="17"/>
        </w:rPr>
        <w:t xml:space="preserve">Zitiervorschlag: § 8 BaySachbezV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https://recht.nulegal.eu/gesetze/BaySachbezV/8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