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BaySachbezV (Bayern) — Arbeitnehmer und Arbeitnehmerinnen</w:t>
      </w:r>
    </w:p>
    <w:p>
      <w:r>
        <w:rPr>
          <w:color w:val="555555"/>
          <w:sz w:val="18"/>
        </w:rPr>
        <w:t xml:space="preserve">Bayerische Sachbezugsverordnung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gilt für Arbeitnehmer und Arbeitnehmerinnen des Freistaates Bayern entsprechend, soweit nicht eine günstigere tarifvertragliche Regelung besteht.</w:t>
      </w:r>
    </w:p>
    <w:p>
      <w:r>
        <w:rPr>
          <w:color w:val="555555"/>
          <w:sz w:val="17"/>
        </w:rPr>
        <w:t xml:space="preserve">Zitiervorschlag: § 6 BaySachbezV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https://recht.nulegal.eu/gesetze/BaySachbezV/6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