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34 BaySÜG (Bayern) — Übermittlung von Informationen über persönliche und arbeitsrechtliche Verhältnisse</w:t>
      </w:r>
    </w:p>
    <w:p>
      <w:r>
        <w:rPr>
          <w:color w:val="555555"/>
          <w:sz w:val="18"/>
        </w:rPr>
        <w:t xml:space="preserve">Bayerisches Sicherheitsüberprüfungsgesetz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nicht-öffentliche Stelle hat der zuständigen Stelle unverzüglich mitzuteilen:</w:t>
      </w:r>
    </w:p>
    <w:p>
      <w:r>
        <w:t xml:space="preserve">1. das Ausscheiden aus oder die Nichtaufnahme der sicherheitsempfindlichen Tätigkeit,</w:t>
      </w:r>
    </w:p>
    <w:p>
      <w:r>
        <w:t xml:space="preserve">2. Änderungen des Namens, eines Wohnsitzes oder der Staatsangehörigkeit,</w:t>
      </w:r>
    </w:p>
    <w:p>
      <w:r>
        <w:t xml:space="preserve">3. Beginn oder Ende einer Ehe, einer Lebenspartnerschaft oder einer auf Dauer angelegten Gemeinschaft und</w:t>
      </w:r>
    </w:p>
    <w:p>
      <w:r>
        <w:t xml:space="preserve">4. auf Anfrage der zuständigen Stelle weitere bei der nicht-öffentlichen Stelle vorhandene Informationen zur Aufklärung sicherheitserheblicher Erkenntnisse.</w:t>
      </w:r>
    </w:p>
    <w:p>
      <w:r>
        <w:t xml:space="preserve">(2) Art. 4 Abs. 2 Satz 4 und 5, Art. 17 Abs. 5 Satz 1 und Art. 20 gelten mit der Maßgabe entsprechend, dass an die Stelle der zuständigen Stelle die nicht-öffentliche Stelle tritt. Für Sicherheitsüberprüfungen nach Art. 10 Abs. 1 Nr. 2 Alternative 2 gilt die Unterrichtungspflicht nach Art. 20 nicht für Veränderungen nach Art. 20 Satz 2 Nr. 3.</w:t>
      </w:r>
    </w:p>
    <w:p>
      <w:r>
        <w:rPr>
          <w:color w:val="555555"/>
          <w:sz w:val="17"/>
        </w:rPr>
        <w:t xml:space="preserve">Zitiervorschlag: Art 34 BaySÜG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https://recht.nulegal.eu/gesetze/BayS%C3%9CG/34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