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30 BaySÜG (Bayern) — Zuständigkeit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Zuständige Stelle im Sinn des Art. 29 ist die jeweilige oberste Staatsbehörde.</w:t>
      </w:r>
    </w:p>
    <w:p>
      <w:r>
        <w:t xml:space="preserve">(2) Die Aufgaben der nicht-öffentlichen Stelle nach diesem Gesetz sind grundsätzlich von einer von der Personalverwaltung getrennten Organisationseinheit wahrzunehmen. Die zuständige Stelle kann Ausnahmen zulassen, wenn die nicht-öffentliche Stelle sich verpflichtet, Informationen, die ihr im Rahmen der Sicherheitsüberprüfung bekanntwerden, nur für solche Zwecke zu gebrauchen, die mit der Sicherheitsüberprüfung verfolgt werden.</w:t>
      </w:r>
    </w:p>
    <w:p>
      <w:r>
        <w:rPr>
          <w:color w:val="555555"/>
          <w:sz w:val="17"/>
        </w:rPr>
        <w:t xml:space="preserve">Zitiervorschlag: Art 30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