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BaySÜG (Bayern) — Sicherheitserhebliche Erkenntnisse nach Abschluß der Sicherheitsüberprüfung</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und die mitwirkende Behörde unterrichten einander unverzüglich, wenn sicherheitserhebliche Erkenntnisse über die betroffene Person oder die mitbetroffene Person bekannt werden oder sich mitgeteilte Erkenntnisse als unrichtig erweisen.</w:t>
      </w:r>
    </w:p>
    <w:p>
      <w:r>
        <w:t xml:space="preserve">(2) Die mitwirkende Behörde prüft die sicherheitserheblichen Erkenntnisse und stellt fest, ob ein Sicherheitsrisiko nach Art. 8 Abs. 1 vorliegt und unterrichtet die zuständige Stelle über das Ergebnis der Prüfung. Im übrigen ist nach Art. 17 Abs. 4 und 5 zu verfahren.</w:t>
      </w:r>
    </w:p>
    <w:p>
      <w:r>
        <w:t xml:space="preserve">(3) Liegt eine sicherheitserhebliche Erkenntnis vor, kann die zuständige Stelle die weitere Betrauung der betroffenen Person mit der sicherheitsempfindlichen Tätigkeit bis zu einer endgültigen Entscheidung über das Vorliegen eines Sicherheitsrisikos untersagen, sofern die besondere Bedeutung der Erkenntnisse und die Art der sicherheitsempfindlichen Tätigkeit dies erfordern und die Untersagung keinen Aufschub duldet. Art. 18 Abs. 1 und 2 bleibt unberührt.</w:t>
      </w:r>
    </w:p>
    <w:p>
      <w:r>
        <w:rPr>
          <w:color w:val="555555"/>
          <w:sz w:val="17"/>
        </w:rPr>
        <w:t xml:space="preserve">Zitiervorschlag: Art 21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