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BaySÜG (Bayern) — Zweck des Gesetzes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regelt die Voraussetzungen und das Verfahren zur Überprüfung einer Person, die von der zuständigen Stelle mit einer sicherheitsempfindlichen Tätigkeit betraut werden soll (Sicherheitsüberprüfung) sowie den Schutz von Verschlusssachen.</w:t>
      </w:r>
    </w:p>
    <w:p>
      <w:r>
        <w:t xml:space="preserve">(2) Zweck der Sicherheitsüberprüfung ist es,</w:t>
      </w:r>
    </w:p>
    <w:p>
      <w:r>
        <w:t xml:space="preserve">1. im öffentlichen Interesse geheimhaltungsbedürftige Angelegenheiten dadurch zu schützen, dass der Zugang von Personen verhindert wird, bei denen ein Sicherheitsrisiko nicht ausgeschlossen werden kann (personeller Geheimschutz),</w:t>
      </w:r>
    </w:p>
    <w:p>
      <w:r>
        <w:t xml:space="preserve">2. die Beschäftigung von Personen an sicherheitsempfindlichen Stellen von lebens- oder verteidigungswichtigen Einrichtungen zu verhindern, bei denen ein Sicherheitsrisiko nicht ausgeschlossen werden kann (vorbeugender personeller Sabotageschutz).</w:t>
      </w:r>
    </w:p>
    <w:p>
      <w:r>
        <w:rPr>
          <w:color w:val="555555"/>
          <w:sz w:val="17"/>
        </w:rPr>
        <w:t xml:space="preserve">Zitiervorschlag: Art 1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