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BaySÜBV (Bayern)</w:t>
      </w:r>
    </w:p>
    <w:p>
      <w:r>
        <w:rPr>
          <w:color w:val="555555"/>
          <w:sz w:val="18"/>
        </w:rPr>
        <w:t xml:space="preserve">Bayerische Sicherheitsüberprüfungsbestimmungsverordnung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des Art. 3 Abs. 5 Satz 1 des Gesetzes über die Voraussetzungen und das Verfahren von Sicherheitsüberprüfungen des Freistaates Bayern – Bayerisches Sicherheitsüberprüfungsgesetz – (BaySÜG) vom 27. Dezember 1996 (GVBl S. 509, BayRS 12-3-I), zuletzt geändert durch § 3 des Gesetzes vom 24. Dezember 2002 (GVBl S. 969), erlässt die Bayerische Staatsregierung folgende Verordnung:</w:t>
      </w:r>
    </w:p>
    <w:p>
      <w:r>
        <w:rPr>
          <w:color w:val="555555"/>
          <w:sz w:val="17"/>
        </w:rPr>
        <w:t xml:space="preserve">Zitiervorschlag: Eingangsformel BaySÜBV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https://recht.nulegal.eu/gesetze/BayS%C3%9CBV/eingangsformel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