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BayRohrlEnteigG (Bayern) — Inkrafttreten</w:t>
      </w:r>
    </w:p>
    <w:p>
      <w:r>
        <w:rPr>
          <w:color w:val="555555"/>
          <w:sz w:val="18"/>
        </w:rPr>
        <w:t xml:space="preserve">Bayerisches Rohrleitungs-Enteignungsgesetz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Juli 2008 in Kraft.</w:t>
      </w:r>
    </w:p>
    <w:p>
      <w:r>
        <w:rPr>
          <w:color w:val="555555"/>
          <w:sz w:val="17"/>
        </w:rPr>
        <w:t xml:space="preserve">Zitiervorschlag: Art 5 BayRohrlEnteigG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https://recht.nulegal.eu/gesetze/BayRohrlEnteigG/5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