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BayRohrlEnteigG (Bayern) — Enteignungsvoraussetzungen</w:t>
      </w:r>
    </w:p>
    <w:p>
      <w:r>
        <w:rPr>
          <w:color w:val="555555"/>
          <w:sz w:val="18"/>
        </w:rPr>
        <w:t xml:space="preserve">Bayerisches Rohrleitungs-Enteignungsgesetz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Enteignung ist im einzelnen Fall nur zulässig, wenn das Wohl der Allgemeinheit sie erfordert und der Enteignungszweck auf andere zumutbare Weise, insbesondere aus Grundbesitz des die Anlage errichtenden und betreibenden Unternehmens, nicht erreicht werden kann. Die Enteignung setzt ferner voraus, dass das die Anlage errichtende und betreibende Unternehmen</w:t>
      </w:r>
    </w:p>
    <w:p>
      <w:r>
        <w:t xml:space="preserve">1. sich nachweislich ernsthaft bemüht hat, das Grundstück oder das in Art. 2 Abs. 1 Satz 2 bezeichnete Recht zu angemessenen Bedingungen freihändig zu erwerben,</w:t>
      </w:r>
    </w:p>
    <w:p>
      <w:r>
        <w:t xml:space="preserve">2. glaubhaft macht, dass das Grundstück oder das Recht daran innerhalb einer angemessenen Frist zu dem vorgesehenen Zweck verwendet oder ausgeübt wird, und</w:t>
      </w:r>
    </w:p>
    <w:p>
      <w:r>
        <w:t xml:space="preserve">3. sich in einem öffentlich-rechtlichen Vertrag mit dem Freistaat Bayern verpflichtet, die Rohrleitungsanlage zu errichten, zweckentsprechend zu betreiben und in einem betriebssicheren Zustand zu erhalten sowie allen Unternehmen den diskriminierungsfreien Zugang zur Rohrleitungsanlage zu marktgerechten Entgelten zu gewährleisten; die Einhaltung dieser Verpflichtungen ist durch Sanktionsmöglichkeiten zu sichern.</w:t>
      </w:r>
    </w:p>
    <w:p>
      <w:r>
        <w:t xml:space="preserve">(2) Für die Enteignung ist Entschädigung zu leisten.</w:t>
      </w:r>
    </w:p>
    <w:p>
      <w:r>
        <w:t xml:space="preserve">(3) Im Übrigen gelten die Vorschriften des Bayerischen Gesetzes über die entschädigungspflichtige Enteignung – BayEG – (BayRS 2141-1-I) in der jeweils geltenden Fassung.</w:t>
      </w:r>
    </w:p>
    <w:p>
      <w:r>
        <w:rPr>
          <w:color w:val="555555"/>
          <w:sz w:val="17"/>
        </w:rPr>
        <w:t xml:space="preserve">Zitiervorschlag: Art 3 BayRohrlEnteigG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https://recht.nulegal.eu/gesetze/BayRohrlEnteigG/3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