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BayRohrlEnteigG (Bayern) — Enteignung</w:t>
      </w:r>
    </w:p>
    <w:p>
      <w:r>
        <w:rPr>
          <w:color w:val="555555"/>
          <w:sz w:val="18"/>
        </w:rPr>
        <w:t xml:space="preserve">Bayerisches Rohrleitungs-Enteignungsgesetz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Errichtung und zum Betrieb der in Art. 1 Abs. 1 Satz 1 genannten Rohrleitungsanlage kann enteignet werden. Ein Grundstück darf nur in dem Umfang enteignet werden, in dem dies zur Verwirklichung des Enteignungszwecks erforderlich ist. Reicht eine Belastung des Grundstücks mit einem Recht, insbesondere einer beschränkten persönlichen Dienstbarkeit, zur Verwirklichung des Enteignungszwecks aus, so ist die Enteignung hierauf zu beschränken.</w:t>
      </w:r>
    </w:p>
    <w:p>
      <w:r>
        <w:t xml:space="preserve">(2) Bestandteile der Rohrleitungsanlage sind insbesondere ihre sämtlichen Betriebs- und Sicherheitseinrichtungen, die notwendigen Zufahrten zu diesen Einrichtungen sowie der sechs Meter breite Schutzstreifen. Die der Errichtung dienenden Arbeitsstreifen und Hilfsflächen sind den Bestandteilen der Rohrleitungsanlage im Sinn des Satzes 1 für die Dauer der Errichtung gleichgestellt.</w:t>
      </w:r>
    </w:p>
    <w:p>
      <w:r>
        <w:rPr>
          <w:color w:val="555555"/>
          <w:sz w:val="17"/>
        </w:rPr>
        <w:t xml:space="preserve">Zitiervorschlag: Art 2 BayRohrlEnteigG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https://recht.nulegal.eu/gesetze/BayRohrlEnteigG/2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