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BayRohrAnlG94 (Bayern)</w:t>
      </w:r>
    </w:p>
    <w:p>
      <w:r>
        <w:rPr>
          <w:color w:val="555555"/>
          <w:sz w:val="18"/>
        </w:rPr>
        <w:t xml:space="preserve">Gesetz über die Errichtung und den Betrieb einer Rohrleitungsanlage zwischen Vohburg an der Donau und Waidhaus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Landtag des Freistaates Bayern hat das folgende Gesetz beschlossen, das nach Anhörung des Senats hiermit bekanntgemacht wird:</w:t>
      </w:r>
    </w:p>
    <w:p>
      <w:r>
        <w:rPr>
          <w:color w:val="555555"/>
          <w:sz w:val="17"/>
        </w:rPr>
        <w:t xml:space="preserve">Zitiervorschlag: Eingangsformel BayRohrAnlG94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https://recht.nulegal.eu/gesetze/BayRohrAnlG94/eingangsformel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