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BayRiStAG (Bayern) — Urlaub ohne Dienstbezüge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 entsprechender Anwendung des Art. 8 Abs. 1 ist auf Antrag Urlaub ohne Dienstbezüge bis zur Dauer von drei Jahren mit der Möglichkeit der Verlängerung zu gewähren. Für Leistungen der Krankheitsfürsorge gilt Art. 89 Abs. 4 BayBG entsprechend.</w:t>
      </w:r>
    </w:p>
    <w:p>
      <w:r>
        <w:t xml:space="preserve">(2) In besonderen Härtefällen kann auf Antrag eine Rückkehr aus dem Urlaub zugelassen werden, wenn seine Fortsetzung nicht zumutbar ist. Für Anträge auf Verlängerung oder Beendigung des Urlaubs gilt Art. 8 Abs. 3 Satz 2 entsprechend.</w:t>
      </w:r>
    </w:p>
    <w:p>
      <w:r>
        <w:rPr>
          <w:color w:val="555555"/>
          <w:sz w:val="17"/>
        </w:rPr>
        <w:t xml:space="preserve">Zitiervorschlag: Art 9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