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71 BayRiStAG (Bayern) — Ausführung des Richterwahlgesetzes</w:t>
      </w:r>
    </w:p>
    <w:p>
      <w:r>
        <w:rPr>
          <w:color w:val="555555"/>
          <w:sz w:val="18"/>
        </w:rPr>
        <w:t xml:space="preserve">Bayerisches Richter- und Staatsanwaltsgesetz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Mitglied kraft Amtes im Richterwahlausschuss im Sinne des § 3 Abs. 3 des Richterwahlgesetzes ist der oder die für den Geschäftsbereich der Justiz zuständige Staatsminister oder Staatsministerin.</w:t>
      </w:r>
    </w:p>
    <w:p>
      <w:r>
        <w:rPr>
          <w:color w:val="555555"/>
          <w:sz w:val="17"/>
        </w:rPr>
        <w:t xml:space="preserve">Zitiervorschlag: Art 71 BayRiStAG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https://recht.nulegal.eu/gesetze/BayRiStAG/71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