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BayRiStAG (Bayern) — Altersgrenze und Ruhestand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Richter und Richterinnen auf Lebenszeit treten mit dem Ende des Monats in den Ruhestand, in dem sie das 67. Lebensjahr vollenden. Der Eintritt in den Ruhestand kann nicht hinausgeschoben werden.</w:t>
      </w:r>
    </w:p>
    <w:p>
      <w:r>
        <w:t xml:space="preserve">(2) Ein Richter oder eine Richterin auf Lebenszeit ist auf Antrag ohne Nachweis der Dienstunfähigkeit in den Ruhestand zu versetzen, wenn er oder sie</w:t>
      </w:r>
    </w:p>
    <w:p>
      <w:r>
        <w:t xml:space="preserve">1. das 64. Lebensjahr vollendet hat oder</w:t>
      </w:r>
    </w:p>
    <w:p>
      <w:r>
        <w:t xml:space="preserve">2. schwerbehindert im Sinne des § 2 Abs. 2 des Neunten Buchs Sozialgesetzbuch (SGB IX) ist und mindestens das 60. Lebensjahr vollendet hat.</w:t>
      </w:r>
    </w:p>
    <w:p>
      <w:r>
        <w:rPr>
          <w:color w:val="555555"/>
          <w:sz w:val="17"/>
        </w:rPr>
        <w:t xml:space="preserve">Zitiervorschlag: Art 7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