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 BayRiStAG (Bayern) — Begrenzte Dienstfähigkeit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Von der Versetzung eines Richters oder einer Richterin auf Lebenszeit in den Ruhestand wegen Dienstunfähigkeit ist abzusehen, wenn</w:t>
      </w:r>
    </w:p>
    <w:p>
      <w:r>
        <w:t xml:space="preserve">1. er oder sie seine oder ihre Dienstpflichten noch mindestens im Umfang der Hälfte des regelmäßigen Dienstes erfüllen kann (begrenzte Dienstfähigkeit) und</w:t>
      </w:r>
    </w:p>
    <w:p>
      <w:r>
        <w:t xml:space="preserve">2. zwingende dienstliche Gründe nicht entgegenstehen.</w:t>
      </w:r>
    </w:p>
    <w:p>
      <w:r>
        <w:t xml:space="preserve">(2) Der Dienst des Richters oder der Richterin ist entsprechend der begrenzten Dienstfähigkeit herabzusetzen. Ändert sich der Umfang der begrenzten Dienstfähigkeit, ist die Herabsetzung des Dienstes entsprechend zu ändern.</w:t>
      </w:r>
    </w:p>
    <w:p>
      <w:r>
        <w:t xml:space="preserve">(3) Art. 65 gilt entsprechend.</w:t>
      </w:r>
    </w:p>
    <w:p>
      <w:r>
        <w:rPr>
          <w:color w:val="555555"/>
          <w:sz w:val="17"/>
        </w:rPr>
        <w:t xml:space="preserve">Zitiervorschlag: Art 66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https://recht.nulegal.eu/gesetze/BayRiStAG/66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