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64 BayRiStAG (Bayern) — Einleitung des Verfahrens</w:t>
      </w:r>
    </w:p>
    <w:p>
      <w:r>
        <w:rPr>
          <w:color w:val="555555"/>
          <w:sz w:val="18"/>
        </w:rPr>
        <w:t xml:space="preserve">Bayerisches Richter- und Staatsanwaltsgesetz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Versetzungsverfahren wird durch einen Antrag der obersten Dienstbehörde eingeleitet.</w:t>
      </w:r>
    </w:p>
    <w:p>
      <w:r>
        <w:t xml:space="preserve">(2) Das Prüfungsverfahren wird in den Fällen des Art. 53 Abs. 1 Nr. 3 durch einen Antrag der obersten Dienstbehörde, in den Fällen der Anfechtung nach Art. 53 Abs. 1 Nr. 4 durch einen Antrag des betroffenen Richters oder der betroffenen Richterin eingeleitet.</w:t>
      </w:r>
    </w:p>
    <w:p>
      <w:r>
        <w:t xml:space="preserve">(3) Ein Vorverfahren findet nur in den Fällen der Anfechtung statt.</w:t>
      </w:r>
    </w:p>
    <w:p>
      <w:r>
        <w:rPr>
          <w:color w:val="555555"/>
          <w:sz w:val="17"/>
        </w:rPr>
        <w:t xml:space="preserve">Zitiervorschlag: Art 64 BayRiStAG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https://recht.nulegal.eu/gesetze/BayRiStAG/64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