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63 BayRiStAG (Bayern) — Anwendung der Verwaltungsgerichtsordnung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Verfahren nach Art. 53 Abs. 1 Nr. 2 (Versetzungsverfahren) sowie Art. 53 Abs. 1 Nr. 3 und 4 (Prüfungsverfahren) gelten die Vorschriften der Verwaltungsgerichtsordnung (VwGO) und des Gesetzes zur Ausführung der Verwaltungsgerichtsordnung sinngemäß, soweit dieses Gesetz nichts anderes bestimmt. Ein Vertreter des öffentlichen Interesses wirkt nicht mit.</w:t>
      </w:r>
    </w:p>
    <w:p>
      <w:r>
        <w:t xml:space="preserve">(2) Gegen Urteile des Bayerischen Dienstgerichts in diesen Verfahren steht den Beteiligten nur die Revision an das Dienstgericht des Bundes nach Maßgabe des § 80 DRiG zu.</w:t>
      </w:r>
    </w:p>
    <w:p>
      <w:r>
        <w:t xml:space="preserve">(3) Für das Verfahren bei der vorläufigen Untersagung der Führung der Amtsgeschäfte nach § 35 DRiG gilt § 123 VwGO entsprechend.</w:t>
      </w:r>
    </w:p>
    <w:p>
      <w:r>
        <w:t xml:space="preserve">(4) Die Regelungen zur Beteiligung der Vertretungen der Richter und Richterinnen sind zu beachten.</w:t>
      </w:r>
    </w:p>
    <w:p>
      <w:r>
        <w:rPr>
          <w:color w:val="555555"/>
          <w:sz w:val="17"/>
        </w:rPr>
        <w:t xml:space="preserve">Zitiervorschlag: Art 63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https://recht.nulegal.eu/gesetze/BayRiStAG/63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