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62 BayRiStAG (Bayern) — Richter auf Probe und kraft Auftrags</w:t>
      </w:r>
    </w:p>
    <w:p>
      <w:r>
        <w:rPr>
          <w:color w:val="555555"/>
          <w:sz w:val="18"/>
        </w:rPr>
        <w:t xml:space="preserve">Bayerisches Richter- und Staatsanwaltsgesetz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Gegen Richter und Richterinnen auf Probe und kraft Auftrags ist eine Disziplinarklage nicht statthaft.</w:t>
      </w:r>
    </w:p>
    <w:p>
      <w:r>
        <w:t xml:space="preserve">(2) Ist ein Richter oder eine Richterin kraft Auftrags nach § 23 DRiG in Verbindung mit § 22 Abs. 3 DRiG aus einem Richteramt entlassen worden, so steht dies der Durchführung eines Disziplinarverfahrens gegen ihn oder sie nach den Vorschriften für Beamte und Beamtinnen nicht entgegen.</w:t>
      </w:r>
    </w:p>
    <w:p>
      <w:r>
        <w:rPr>
          <w:color w:val="555555"/>
          <w:sz w:val="17"/>
        </w:rPr>
        <w:t xml:space="preserve">Zitiervorschlag: Art 62 BayRiStAG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https://recht.nulegal.eu/gesetze/BayRiStAG/62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