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56 BayRiStAG (Bayern) — Staatsanwaltliche Mitglieder</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staatsanwaltlichen Mitglieder werden vom Staatsministerium auf mehrheitlichen Vorschlag der Generalstaatsanwälte auf die Dauer von fünf Jahren in das Amt eines ehrenamtlichen Richters oder einer ehrenamtlichen Richterin berufen. Die Spitzenorganisationen der zuständigen Berufsverbände der Staatsanwälte und Staatsanwältinnen können Vorschläge für die Berufung unterbreiten.</w:t>
      </w:r>
    </w:p>
    <w:p>
      <w:r>
        <w:t xml:space="preserve">(2) Art. 55 Abs. 1 Satz 2 und 3, Abs. 4 bis 6 gilt entsprechend.</w:t>
      </w:r>
    </w:p>
    <w:p>
      <w:r>
        <w:rPr>
          <w:color w:val="555555"/>
          <w:sz w:val="17"/>
        </w:rPr>
        <w:t xml:space="preserve">Zitiervorschlag: Art 56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https://recht.nulegal.eu/gesetze/BayRiStAG/56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