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49 BayRiStAG (Bayern) — Zusammensetzung</w:t>
      </w:r>
    </w:p>
    <w:p>
      <w:r>
        <w:rPr>
          <w:color w:val="555555"/>
          <w:sz w:val="18"/>
        </w:rPr>
        <w:t xml:space="preserve">Bayerisches Richter- und Staatsanwaltsgesetz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Landesstaatsanwaltsrat besteht aus</w:t>
      </w:r>
    </w:p>
    <w:p>
      <w:r>
        <w:t xml:space="preserve">1. dem Leiter oder der Leiterin einer Generalstaatsanwaltschaft oder Staatsanwaltschaft als vorsitzendem Mitglied und</w:t>
      </w:r>
    </w:p>
    <w:p>
      <w:r>
        <w:t xml:space="preserve">2. den Mitgliedern des Hauptstaatsanwaltsrats.</w:t>
      </w:r>
    </w:p>
    <w:p>
      <w:r>
        <w:t xml:space="preserve">Art. 39 Abs. 1 Satz 2 bis 6, Abs. 6 Satz 2 gilt entsprechend.</w:t>
      </w:r>
    </w:p>
    <w:p>
      <w:r>
        <w:rPr>
          <w:color w:val="555555"/>
          <w:sz w:val="17"/>
        </w:rPr>
        <w:t xml:space="preserve">Zitiervorschlag: Art 49 BayRiStAG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https://recht.nulegal.eu/gesetze/BayRiStAG/49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