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BayRiStAG (Bayern) — Aufgaben</w:t>
      </w:r>
    </w:p>
    <w:p>
      <w:r>
        <w:rPr>
          <w:color w:val="555555"/>
          <w:sz w:val="18"/>
        </w:rPr>
        <w:t xml:space="preserve">Bayerisches Richter- und Staatsanwaltsgesetz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Präsidialrat ist bei folgenden Angelegenheiten zu beteiligen:</w:t>
      </w:r>
    </w:p>
    <w:p>
      <w:r>
        <w:t xml:space="preserve">1. jeder Übertragung eines anderen Richteramts als dem jeweiligen laufbahnrechtlichen Eingangsamt,</w:t>
      </w:r>
    </w:p>
    <w:p>
      <w:r>
        <w:t xml:space="preserve">2. Versetzung oder Amtsenthebung eines Richters oder einer Richterin nach den §§ 31, 32 DRiG,</w:t>
      </w:r>
    </w:p>
    <w:p>
      <w:r>
        <w:t xml:space="preserve">3. Versetzung eines Richters oder einer Richterin in den Ruhestand oder Herabsetzung des Dienstes nach § 34 DRiG,</w:t>
      </w:r>
    </w:p>
    <w:p>
      <w:r>
        <w:t xml:space="preserve">4. Rücknahme einer Ernennung nach § 19 DRiG, an der der Präsidialrat beteiligt war,</w:t>
      </w:r>
    </w:p>
    <w:p>
      <w:r>
        <w:t xml:space="preserve">5. Entlassung eines Richters oder einer Richterin nach § 21 Abs. 2 Nr. 1 bis 3 und 5, §§ 22 und 23 DRiG, sofern nicht nach Art. 50 Abs. 2 Satz 1 Nr. 4 der Landesstaatsanwaltsrat zu beteiligen ist,</w:t>
      </w:r>
    </w:p>
    <w:p>
      <w:r>
        <w:t xml:space="preserve">6. Erhebung der Disziplinarklage gegen einen Richter oder eine Richterin,</w:t>
      </w:r>
    </w:p>
    <w:p>
      <w:r>
        <w:t xml:space="preserve">7. Entscheidungen über das Hinausschieben des Eintritts in den Ruhestand nach Art. 72 Abs. 2 Satz 1.</w:t>
      </w:r>
    </w:p>
    <w:p>
      <w:r>
        <w:t xml:space="preserve">In den Fällen des Satzes 1 Nr. 3, 5 bis 7 findet die Beteiligung nur auf Antrag der betroffenen Person statt.</w:t>
      </w:r>
    </w:p>
    <w:p>
      <w:r>
        <w:t xml:space="preserve">(2) Zuständig ist der Präsidialrat des Gerichtszweigs, dem der Richter oder die Richterin angehört, in den Fällen des Abs. 1 Satz 1 Nr. 1 der Präsidialrat des Gerichtszweigs, in dem er oder sie verwendet werden soll.</w:t>
      </w:r>
    </w:p>
    <w:p>
      <w:r>
        <w:rPr>
          <w:color w:val="555555"/>
          <w:sz w:val="17"/>
        </w:rPr>
        <w:t xml:space="preserve">Zitiervorschlag: Art 45 BayRiStAG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https://recht.nulegal.eu/gesetze/BayRiStAG/45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