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38 BayRiStAG (Bayern) — Errichtung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Ein Präsidialrat wird errichtet für die Gerichte der</w:t>
      </w:r>
    </w:p>
    <w:p>
      <w:r>
        <w:t xml:space="preserve">1. ordentlichen Gerichtsbarkeit bei dem Gericht, dessen Präsident oder Präsidentin dem Präsidialrat vorsitzt,</w:t>
      </w:r>
    </w:p>
    <w:p>
      <w:r>
        <w:t xml:space="preserve">2. Verwaltungsgerichtsbarkeit beim Verwaltungsgerichtshof,</w:t>
      </w:r>
    </w:p>
    <w:p>
      <w:r>
        <w:t xml:space="preserve">3. Sozialgerichtsbarkeit beim Landessozialgericht,</w:t>
      </w:r>
    </w:p>
    <w:p>
      <w:r>
        <w:t xml:space="preserve">4. Arbeitsgerichtsbarkeit und Finanzgerichtsbarkeit bei der jeweils zuständigen obersten Dienstbehörde.</w:t>
      </w:r>
    </w:p>
    <w:p>
      <w:r>
        <w:rPr>
          <w:color w:val="555555"/>
          <w:sz w:val="17"/>
        </w:rPr>
        <w:t xml:space="preserve">Zitiervorschlag: Art 38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https://recht.nulegal.eu/gesetze/BayRiStAG/38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