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37 BayRiStAG (Bayern) — Innere Ordnung, Beteiligung, Schweigepflicht und Rechtsweg</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Staatsanwaltsräte gelten die Art. 26 bis 31 Abs. 1, Art. 32 Abs. 1, 2 und 4 bis 6, Art. 33 und 34 entsprechend; Art. 29 Nr. 8 gilt entsprechend mit der Maßgabe, dass sich die Mitwirkung auch auf die Einführung, Änderung und Aufhebung von Arbeitsformen außerhalb der Dienststelle erstreckt. Staatsanwaltsräte wirken zudem mit an der Versagung oder dem Widerruf der Teilnahme eines Staatsanwalts oder einer Staatsanwältin an allen bereits eingeführten Arbeitsformen außerhalb der Dienststelle.</w:t>
      </w:r>
    </w:p>
    <w:p>
      <w:r>
        <w:t xml:space="preserve">(2) Für Rechtsstreitigkeiten in den Fällen des Art. 42 Abs. 1 und 3 in Verbindung mit Art. 36 Abs. 4 Satz 1 ist der Rechtsweg zu den Verwaltungsgerichten gegeben.</w:t>
      </w:r>
    </w:p>
    <w:p>
      <w:r>
        <w:rPr>
          <w:color w:val="555555"/>
          <w:sz w:val="17"/>
        </w:rPr>
        <w:t xml:space="preserve">Zitiervorschlag: Art 37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https://recht.nulegal.eu/gesetze/BayRiStAG/37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