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35 BayRiStAG (Bayern) — Errichtung und Zusammensetzung</w:t>
      </w:r>
    </w:p>
    <w:p>
      <w:r>
        <w:rPr>
          <w:color w:val="555555"/>
          <w:sz w:val="18"/>
        </w:rPr>
        <w:t xml:space="preserve">Bayerisches Richter- und Staatsanwaltsgesetz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Ein örtlicher Staatsanwaltsrat wird errichtet bei allen Staatsanwaltschaften und Generalstaatsanwaltschaften. Bei bis zu 20 Wahlberechtigten besteht er aus einem Mitglied, im Übrigen aus drei Mitgliedern.</w:t>
      </w:r>
    </w:p>
    <w:p>
      <w:r>
        <w:t xml:space="preserve">(2) Die Bezirksstaatsanwaltsräte sind bei den Generalstaatsanwaltschaften errichtet. Der Bezirksstaatsanwaltsrat besteht bei der Generalstaatsanwaltschaft München aus fünf, bei den Generalstaatsanwaltschaften Nürnberg und Bamberg aus je drei Mitgliedern.</w:t>
      </w:r>
    </w:p>
    <w:p>
      <w:r>
        <w:t xml:space="preserve">(3) Der Hauptstaatsanwaltsrat ist beim Staatsministerium errichtet. Er besteht aus drei Mitgliedern aus dem Bezirk der Generalstaatsanwaltschaft München und je einem Mitglied aus den Bezirken der Generalstaatsanwaltschaften Nürnberg und Bamberg.</w:t>
      </w:r>
    </w:p>
    <w:p>
      <w:r>
        <w:rPr>
          <w:color w:val="555555"/>
          <w:sz w:val="17"/>
        </w:rPr>
        <w:t xml:space="preserve">Zitiervorschlag: Art 35 BayRiStAG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https://recht.nulegal.eu/gesetze/BayRiStAG/35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