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33 BayRiStAG (Bayern) — Schweigepflicht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Schweigepflicht der Mitglieder des Richterrats gilt Art. 10 BayPVG mit der Maßgabe entsprechend, dass diese in gemeinsamen Angelegenheiten auch gegenüber Mitgliedern des Personalrats entfällt. Art. 17 Abs. 3 bleibt unberührt.</w:t>
      </w:r>
    </w:p>
    <w:p>
      <w:r>
        <w:rPr>
          <w:color w:val="555555"/>
          <w:sz w:val="17"/>
        </w:rPr>
        <w:t xml:space="preserve">Zitiervorschlag: Art 33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