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29 BayRiStAG (Bayern) — Mitwirkung</w:t>
      </w:r>
    </w:p>
    <w:p>
      <w:r>
        <w:rPr>
          <w:color w:val="555555"/>
          <w:sz w:val="18"/>
        </w:rPr>
        <w:t xml:space="preserve">Bayerisches Richter- und Staatsanwaltsgesetz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Richterräte wirken bei folgenden Angelegenheiten mit:</w:t>
      </w:r>
    </w:p>
    <w:p>
      <w:r>
        <w:t xml:space="preserve">1. Vorbereitung von Verwaltungsanordnungen einer Dienststelle für die innerdienstlichen sozialen und persönlichen Angelegenheiten der Richter und Richterinnen ihres Geschäftsbereichs,</w:t>
      </w:r>
    </w:p>
    <w:p>
      <w:r>
        <w:t xml:space="preserve">2. Regelung der Ordnung in der Dienststelle und des Verhaltens der Richter und Richterinnen,</w:t>
      </w:r>
    </w:p>
    <w:p>
      <w:r>
        <w:t xml:space="preserve">3. allgemeinen Fragen der Fortbildung,</w:t>
      </w:r>
    </w:p>
    <w:p>
      <w:r>
        <w:t xml:space="preserve">4. Bestellung und Abberufung von Beauftragten nach § 181 SGB IX, von Gleichstellungsbeauftragten sowie Ansprechpartnern,</w:t>
      </w:r>
    </w:p>
    <w:p>
      <w:r>
        <w:t xml:space="preserve">5. Maßnahmen zur Förderung der Familienfreundlichkeit der Arbeitsbedingungen,</w:t>
      </w:r>
    </w:p>
    <w:p>
      <w:r>
        <w:t xml:space="preserve">6. Einführung grundlegend neuer Arbeitsmethoden,</w:t>
      </w:r>
    </w:p>
    <w:p>
      <w:r>
        <w:t xml:space="preserve">7. Maßnahmen zur Hebung der Arbeitsleistung und Erleichterung des Arbeitsablaufs,</w:t>
      </w:r>
    </w:p>
    <w:p>
      <w:r>
        <w:t xml:space="preserve">8. Gestaltung der Arbeitsplätze,</w:t>
      </w:r>
    </w:p>
    <w:p>
      <w:r>
        <w:t xml:space="preserve">9. Auflösung, Verlegung und Zusammenlegung von Dienststellen oder wesentlichen Teilen von ihnen,</w:t>
      </w:r>
    </w:p>
    <w:p>
      <w:r>
        <w:t xml:space="preserve">10. Aufstellung von Grundsätzen für die Personalbedarfsberechnung,</w:t>
      </w:r>
    </w:p>
    <w:p>
      <w:r>
        <w:t xml:space="preserve">11. Erteilung eines Verweises; Art. 76 Abs. 1 Satz 3 und 5 BayPVG gilt entsprechend,</w:t>
      </w:r>
    </w:p>
    <w:p>
      <w:r>
        <w:t xml:space="preserve">12. Versagung der vorzeitigen Versetzung in den Ruhestand; Art. 76 Abs. 1 Satz 3 BayPVG gilt entsprechend.</w:t>
      </w:r>
    </w:p>
    <w:p>
      <w:r>
        <w:rPr>
          <w:color w:val="555555"/>
          <w:sz w:val="17"/>
        </w:rPr>
        <w:t xml:space="preserve">Zitiervorschlag: Art 29 BayRiStAG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https://recht.nulegal.eu/gesetze/BayRiStAG/29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