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28 BayRiStAG (Bayern) — Mitbestimmung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Richterrat hat vorbehaltlich anderweitiger gesetzlicher Regelungen mitzubestimmen bei</w:t>
      </w:r>
    </w:p>
    <w:p>
      <w:r>
        <w:t xml:space="preserve">1. Zeit, Ort und Art der Auszahlung der Dienstbezüge,</w:t>
      </w:r>
    </w:p>
    <w:p>
      <w:r>
        <w:t xml:space="preserve">2. Aufstellung des Urlaubsplans,</w:t>
      </w:r>
    </w:p>
    <w:p>
      <w:r>
        <w:t xml:space="preserve">3. Errichtung, Verwaltung und Auflösung von Sozialeinrichtungen ohne Rücksicht auf ihre Rechtsform,</w:t>
      </w:r>
    </w:p>
    <w:p>
      <w:r>
        <w:t xml:space="preserve">4. Bestellung und Abberufung von Vertrauens- und Betriebsärzten, Fachkräften für Arbeitssicherheit, Sicherheitsbeauftragten und Datenschutzbeauftragten,</w:t>
      </w:r>
    </w:p>
    <w:p>
      <w:r>
        <w:t xml:space="preserve">5. Maßnahmen zur Verhütung von Dienst- und Arbeitsunfällen und sonstigen Gesundheitsschädigungen,</w:t>
      </w:r>
    </w:p>
    <w:p>
      <w:r>
        <w:t xml:space="preserve">6. Festlegung von Grundsätzen über die Bewertung von anerkannten Vorschlägen im Rahmen des Vorschlagswesens,</w:t>
      </w:r>
    </w:p>
    <w:p>
      <w:r>
        <w:t xml:space="preserve">7. Inhalt von Personalfragebögen,</w:t>
      </w:r>
    </w:p>
    <w:p>
      <w:r>
        <w:t xml:space="preserve">8. Beurteilungsrichtlinien,</w:t>
      </w:r>
    </w:p>
    <w:p>
      <w:r>
        <w:t xml:space="preserve">9. Einführung, Anwendung und erheblicher Änderung</w:t>
      </w:r>
    </w:p>
    <w:p>
      <w:r>
        <w:t xml:space="preserve">a) technischer Einrichtungen, die zur Überwachung des Verhaltens oder der Leistung der Richter und Richterinnen objektiv geeignet sind,</w:t>
      </w:r>
    </w:p>
    <w:p>
      <w:r>
        <w:t xml:space="preserve">b) von automatisierten Verfahren zur Personalverwaltung;</w:t>
      </w:r>
    </w:p>
    <w:p>
      <w:r>
        <w:t xml:space="preserve">Art. 75a Abs. 2 BayPVG gilt entsprechend.</w:t>
      </w:r>
    </w:p>
    <w:p>
      <w:r>
        <w:t xml:space="preserve">(2) Auf Antrag des Richters oder der Richterin bestimmt der Richterrat, auf Verlangen des Richters oder der Richterin nur sein Vorsitzender, bei folgenden Angelegenheiten mit:</w:t>
      </w:r>
    </w:p>
    <w:p>
      <w:r>
        <w:t xml:space="preserve">1. Gewährung von Unterstützungen, Vorschüssen, Darlehen und entsprechenden sozialen Zuwendungen,</w:t>
      </w:r>
    </w:p>
    <w:p>
      <w:r>
        <w:t xml:space="preserve">2. Geltendmachung von Ersatzansprüchen gegen Richter oder Richterinnen; diese sind von der beabsichtigten Maßnahme rechtzeitig vorher in Kenntnis zu setzen,</w:t>
      </w:r>
    </w:p>
    <w:p>
      <w:r>
        <w:t xml:space="preserve">3. Versagung oder Widerruf der Genehmigung einer Nebentätigkeit,</w:t>
      </w:r>
    </w:p>
    <w:p>
      <w:r>
        <w:t xml:space="preserve">4. Anordnungen, die die Freiheit in der Wahl der Wohnung beschränken.</w:t>
      </w:r>
    </w:p>
    <w:p>
      <w:r>
        <w:t xml:space="preserve">In den Fällen des Satzes 1 Nr. 2 bis 4 findet Art. 75 Abs. 2 BayPVG entsprechende Anwendung.</w:t>
      </w:r>
    </w:p>
    <w:p>
      <w:r>
        <w:rPr>
          <w:color w:val="555555"/>
          <w:sz w:val="17"/>
        </w:rPr>
        <w:t xml:space="preserve">Zitiervorschlag: Art 28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