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25 BayRiStAG (Bayern) — Gesonderte Wahl bei den Hauptrichterräten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Richter und Richterinnen der jeweiligen Oberlandes-, Landesarbeits- und Finanzgerichtsbezirke wählen die Mitglieder aus ihrem jeweiligen Bezirk für den Hauptrichterrat gesondert. Die Richter und Richterinnen am Obersten Landesgericht gelten insoweit als dem Bezirk des Oberlandesgerichts München angehörig.</w:t>
      </w:r>
    </w:p>
    <w:p>
      <w:r>
        <w:rPr>
          <w:color w:val="555555"/>
          <w:sz w:val="17"/>
        </w:rPr>
        <w:t xml:space="preserve">Zitiervorschlag: Art 25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https://recht.nulegal.eu/gesetze/BayRiStAG/25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