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20 BayRiStAG (Bayern) — Hauptrichterräte</w:t>
      </w:r>
    </w:p>
    <w:p>
      <w:r>
        <w:rPr>
          <w:color w:val="555555"/>
          <w:sz w:val="18"/>
        </w:rPr>
        <w:t xml:space="preserve">Bayerisches Richter- und Staatsanwaltsgesetz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Hauptrichterrat der ordentlichen Gerichtsbarkeit ist beim Staatsministerium errichtet. Er besteht aus drei Mitgliedern aus dem Oberlandesgerichtsbezirk München – einschließlich Oberstes Landesgericht – und je zwei Mitgliedern aus den Oberlandesgerichtsbezirken Nürnberg und Bamberg.</w:t>
      </w:r>
    </w:p>
    <w:p>
      <w:r>
        <w:t xml:space="preserve">(2) Der Hauptrichterrat der Verwaltungsgerichtsbarkeit ist beim Verwaltungsgerichtshof errichtet. Er besteht aus fünf Mitgliedern.</w:t>
      </w:r>
    </w:p>
    <w:p>
      <w:r>
        <w:t xml:space="preserve">(3) Der Hauptrichterrat der Sozialgerichtsbarkeit ist beim Staatsministerium für Familie, Arbeit und Soziales errichtet. Er besteht aus fünf Mitgliedern.</w:t>
      </w:r>
    </w:p>
    <w:p>
      <w:r>
        <w:t xml:space="preserve">(4) Der Hauptrichterrat der Arbeitsgerichtsbarkeit ist beim Staatsministerium für Familie, Arbeit und Soziales errichtet. Er besteht aus drei Mitgliedern aus dem Landesarbeitsgerichtsbezirk München und zwei Mitgliedern aus dem Landesarbeitsgerichtsbezirk Nürnberg.</w:t>
      </w:r>
    </w:p>
    <w:p>
      <w:r>
        <w:t xml:space="preserve">(5) Der Hauptrichterrat für die Finanzgerichtsbarkeit ist beim Staatsministerium der Finanzen und für Heimat errichtet. Er besteht aus zwei Mitgliedern vom Finanzgericht München und einem Mitglied vom Finanzgericht Nürnberg.</w:t>
      </w:r>
    </w:p>
    <w:p>
      <w:r>
        <w:rPr>
          <w:color w:val="555555"/>
          <w:sz w:val="17"/>
        </w:rPr>
        <w:t xml:space="preserve">Zitiervorschlag: Art 20 BayRiStAG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https://recht.nulegal.eu/gesetze/BayRiStAG/20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