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BayRiStAG (Bayern) — Bezirksrichterräte</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Bezirksrichterräte der ordentlichen Gerichtsbarkeit sind bei den Oberlandesgerichten errichtet. Der Bezirksrichterrat beim Oberlandesgericht München besteht aus sieben, die Bezirksrichterräte bei den Oberlandesgerichten Nürnberg und Bamberg bestehen aus je fünf Mitgliedern.</w:t>
      </w:r>
    </w:p>
    <w:p>
      <w:r>
        <w:t xml:space="preserve">(2) Die Bezirksrichterräte in der Arbeitsgerichtsbarkeit sind bei den Landesarbeitsgerichten errichtet. Sie bestehen aus je drei Mitgliedern.</w:t>
      </w:r>
    </w:p>
    <w:p>
      <w:r>
        <w:rPr>
          <w:color w:val="555555"/>
          <w:sz w:val="17"/>
        </w:rPr>
        <w:t xml:space="preserve">Zitiervorschlag: Art 19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