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BayRiStAG (Bayern) — Örtliche Richterräte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 örtlicher Richterrat wird bei allen Gerichten errichtet. Er besteht bei Gerichten mit</w:t>
      </w:r>
    </w:p>
    <w:p>
      <w:r>
        <w:t xml:space="preserve">1. 3 bis 20 Wahlberechtigten aus einem Mitglied,</w:t>
      </w:r>
    </w:p>
    <w:p>
      <w:r>
        <w:t xml:space="preserve">2. 21 bis 50 Wahlberechtigten aus drei Mitgliedern,</w:t>
      </w:r>
    </w:p>
    <w:p>
      <w:r>
        <w:t xml:space="preserve">3. 51 bis 150 Wahlberechtigten aus fünf Mitgliedern,</w:t>
      </w:r>
    </w:p>
    <w:p>
      <w:r>
        <w:t xml:space="preserve">4. mehr als 150 Wahlberechtigten aus sieben Mitgliedern.</w:t>
      </w:r>
    </w:p>
    <w:p>
      <w:r>
        <w:t xml:space="preserve">Der örtliche Richterrat beim Obersten Landesgericht besteht aus zumindest drei Mitgliedern.</w:t>
      </w:r>
    </w:p>
    <w:p>
      <w:r>
        <w:rPr>
          <w:color w:val="555555"/>
          <w:sz w:val="17"/>
        </w:rPr>
        <w:t xml:space="preserve">Zitiervorschlag: Art 18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