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BayRiStAG (Bayern) — Allgemeines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Beteiligung an allgemeinen und sozialen Angelegenheiten der Richter und Richterinnen sowie Staatsanwälte und Staatsanwältinnen werden errichtet:</w:t>
      </w:r>
    </w:p>
    <w:p>
      <w:r>
        <w:t xml:space="preserve">1. in jedem Gerichtszweig örtliche Richterräte sowie als Stufenvertretungen in der ordentlichen Gerichtsbarkeit und der Arbeitsgerichtsbarkeit Bezirksrichterräte sowie in jedem Gerichtszweig Hauptrichterräte (Richterräte) und</w:t>
      </w:r>
    </w:p>
    <w:p>
      <w:r>
        <w:t xml:space="preserve">2. örtliche Staatsanwaltsräte sowie als Stufenvertretungen Bezirksstaatsanwaltsräte und ein Hauptstaatsanwaltsrat (Staatsanwaltsräte).</w:t>
      </w:r>
    </w:p>
    <w:p>
      <w:r>
        <w:t xml:space="preserve">(2) Für die Beteiligung an Personalangelegenheiten der Richter und Richterinnen werden in jedem Gerichtszweig Präsidialräte errichtet. In Personalangelegenheiten der Staatsanwälte und Staatsanwältinnen hat der Hauptstaatsanwaltsrat zugleich die Aufgaben des Präsidialrats (Landesstaatsanwaltsrat).</w:t>
      </w:r>
    </w:p>
    <w:p>
      <w:r>
        <w:t xml:space="preserve">(3) Die Hauptrichterräte, der Hauptstaatsanwaltsrat, die Präsidialräte und der Landesstaatsanwaltsrat können zum Zwecke der Erfüllung der ihnen obliegenden Aufgaben zusammenarbeiten.</w:t>
      </w:r>
    </w:p>
    <w:p>
      <w:r>
        <w:t xml:space="preserve">(4) Auf die Richter- und Staatsanwaltsräte sind die Vorschriften des Bayerischen Personalvertretungsgesetzes (BayPVG) sowie der Wahlordnung zum Bayerischen Personalvertretungsgesetz entsprechend anzuwenden, soweit sich aus diesem Gesetz nichts Abweichendes ergibt. Satz 1 gilt in Bezug auf die Wahlordnung zum Bayerischen Personalvertretungsgesetz auch für den Präsidialrat.</w:t>
      </w:r>
    </w:p>
    <w:p>
      <w:r>
        <w:t xml:space="preserve">(5) Richter und Richterinnen auf Probe, die ausschließlich im staatsanwaltschaftlichen Dienst verwendet werden, gelten innerhalb des Teils 3 als Staatsanwälte und Staatsanwältinnen.</w:t>
      </w:r>
    </w:p>
    <w:p>
      <w:r>
        <w:rPr>
          <w:color w:val="555555"/>
          <w:sz w:val="17"/>
        </w:rPr>
        <w:t xml:space="preserve">Zitiervorschlag: Art 17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