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16 BayRiStAG (Bayern) — Richter auf Zeit</w:t>
      </w:r>
    </w:p>
    <w:p>
      <w:r>
        <w:rPr>
          <w:color w:val="555555"/>
          <w:sz w:val="18"/>
        </w:rPr>
        <w:t xml:space="preserve">Bayerisches Richter- und Staatsanwaltsgesetz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Für Richter und Richterinnen auf Zeit gelten die Vorschriften für Richter und Richterinnen auf Lebenszeit entsprechend, soweit gesetzlich nichts anderes bestimmt ist.</w:t>
      </w:r>
    </w:p>
    <w:p>
      <w:r>
        <w:t xml:space="preserve">(2) Richter und Richterinnen auf Zeit treten in den Ruhestand mit</w:t>
      </w:r>
    </w:p>
    <w:p>
      <w:r>
        <w:t xml:space="preserve">1. Ablauf der Zeit, für die sie ernannt sind, wenn sie eine Dienstzeit von mindestens zehn Jahren in einem Richter- oder Beamtenverhältnis mit Dienstbezügen zurückgelegt haben, es sei denn, sie werden erneut in dasselbe Richteramt für eine weitere Amtszeit berufen oder lehnen entgegen Art. 123 Abs. 3 Satz 1 BayBG die Weiterführung des Richteramts ab,</w:t>
      </w:r>
    </w:p>
    <w:p>
      <w:r>
        <w:t xml:space="preserve">2. dem Ende des Monats, in dem sie die Altersgrenze für Richter und Richterinnen erreichen, wenn sie eine Dienstzeit von mindestens zehn Jahren in einem Richter- oder Beamtenverhältnis mit Dienstbezügen zurückgelegt haben oder aus einem Richter- oder Beamtenverhältnis auf Lebenszeit zum Richter oder zur Richterin auf Zeit ernannt worden waren.</w:t>
      </w:r>
    </w:p>
    <w:p>
      <w:r>
        <w:t xml:space="preserve">Für die Ruhestandsversetzung wegen Dienstunfähigkeit gilt Art. 123 Abs. 2 Satz 1 BayBG entsprechend. Das Verfahren richtet sich nach Art. 65.</w:t>
      </w:r>
    </w:p>
    <w:p>
      <w:r>
        <w:t xml:space="preserve">(3) Für die Beendigung des Dienstverhältnisses gilt Art. 122 Abs. 2 und 4 BayBG entsprechend.</w:t>
      </w:r>
    </w:p>
    <w:p>
      <w:r>
        <w:rPr>
          <w:color w:val="555555"/>
          <w:sz w:val="17"/>
        </w:rPr>
        <w:t xml:space="preserve">Zitiervorschlag: Art 16 BayRiStAG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https://recht.nulegal.eu/gesetze/BayRiStAG/16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