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BayRiStAG (Bayern) — Amtstracht, Neutralität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Richter und Richterinnen, Staatsanwälte und Staatsanwältinnen sowie Landesanwälte und Landesanwältinnen tragen Amtstracht nach näherer Bestimmung der obersten Dienstbehörde.</w:t>
      </w:r>
    </w:p>
    <w:p>
      <w:r>
        <w:t xml:space="preserve">(2) Richter und Richterinnen dürfen in Verhandlungen sowie bei allen Amtshandlungen mit Außenkontakt keine sichtbaren religiös oder weltanschaulich geprägten Symbole oder Kleidungsstücke tragen, die Zweifel an ihrer Unabhängigkeit, Neutralität oder ausschließlichen Bindung an Recht und Gesetz hervorrufen können. Satz 1 gilt für Staatsanwälte und Staatsanwältinnen sowie Landesanwälte und Landesanwältinnen entsprechend. Weitergehende Vorschriften bleiben unberührt.</w:t>
      </w:r>
    </w:p>
    <w:p>
      <w:r>
        <w:rPr>
          <w:color w:val="555555"/>
          <w:sz w:val="17"/>
        </w:rPr>
        <w:t xml:space="preserve">Zitiervorschlag: Art 11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