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BayRhPfIngVersStV (Bayern) — Kündigung des Staatsvertrags</w:t>
      </w:r>
    </w:p>
    <w:p>
      <w:r>
        <w:rPr>
          <w:color w:val="555555"/>
          <w:sz w:val="18"/>
        </w:rPr>
        <w:t xml:space="preserve">Staatsvertrag zwischen dem Freistaat Bayern und dem Land Rheinland-Pfalz über die Zugehörigkeit der Beratenden Ingenieure des Landes Rheinland-Pfalz zur Bayerischen Ingenieurversorgung-Bau Vom 5./31. März 1998</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vertragsschließenden Teil mit einer Frist von 5 Jahren zum Ablauf eines Kalenderjahres gekündigt werden. Vor Ablauf von 10 Jahren nach Inkrafttreten dieses Staatsvertrags ist eine Kündigung ausgeschlossen.</w:t>
      </w:r>
    </w:p>
    <w:p>
      <w:r>
        <w:t xml:space="preserve">(2) Im Fall der Kündigung übernimmt ein durch das Land Rheinland-Pfalz innerhalb der Kündigungsfrist zu bestimmender Rechtsträger als Gesamtrechtsnachfolger die im Land Rheinland-Pfalz beruflich tätigen Mitglieder der Ingenieurversorgung sowie die im Land Rheinland-Pfalz wohnhaften Versorgungsempfänger der Ingenieurversorgung. Auf diesen Rechtsträger gehen alle Rechte und Pflichten der Ingenieurversorgung gegenüber den übernommenen Mitgliedern und Versorgungsempfängern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Die Auseinandersetzung des Vermögens bedarf der versicherungsaufsichtlichen Genehmigung durch das Bayerische Staatsministerium für Wirtschaft, Verkehr und Technologie. Das zu verteilende Vermögen ergibt sich aus einer zum Tag des Wirksamwerdens der Kündigung zu erstellenden Auseinandersetzungsbilanz, wobei Verkehrswerte zugrunde zu legen sind. Von der Summe der aktiven Vermögenswerte ist die Summe der nicht versicherungstechnischen Verbindlichkeiten abzuziehen. Das so ermittelte Vermögen ist nach dem Verhältnis der auf den ausscheidenden Teilbestand treffenden versicherungstechnischen Verbindlichkeiten zu den versicherungstechnischen Verbindlichkeiten des verbleibenden Bestands der Ingenieurversorgung aufzuteilen; soweit nicht versicherungstechnische Verbindlichkeiten von dem Gesamtrechtsnachfolger übernommen werden, sind ihm die entsprechenden Deckungsmittel zu überlassen. Bei der Verteilung des Vermögens sind im Land Rheinland-Pfalz in Grundstücken, grundstücksgleichen Rechten und Rechten an diesen angelegte Vermögenswerte auf Verlangen auf den Gesamtrechtsnachfolger zu übertragen; bei der übrigen Vermögenswerten ist die Ingenieurversorgung berechtigt, Wertpapiere und Grundbesitz in Geldwert abzulösen.</w:t>
      </w:r>
    </w:p>
    <w:p>
      <w:r>
        <w:rPr>
          <w:color w:val="555555"/>
          <w:sz w:val="17"/>
        </w:rPr>
        <w:t xml:space="preserve">Zitiervorschlag: Art 9 BayRhPfIngVersStV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https://recht.nulegal.eu/gesetze/BayRhPfIngVersStV/9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