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BayRhPfIngVersStV (Bayern) — Satzung</w:t>
      </w:r>
    </w:p>
    <w:p>
      <w:r>
        <w:rPr>
          <w:color w:val="555555"/>
          <w:sz w:val="18"/>
        </w:rPr>
        <w:t xml:space="preserve">Staatsvertrag zwischen dem Freistaat Bayern und dem Land Rheinland-Pfalz über die Zugehörigkeit der Beratenden Ingenieure des Landes Rheinland-Pfalz zur Bayerischen Ingenieurversorgung-Bau Vom 5./31. März 1998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Satzung der Ingenieurversorgung und ihre Änderungen gelten auch im Land Rheinland-Pfalz. Sie bedürfen zu ihrer Wirksamkeit im Land Rheinland-Pfalz im Rahmen der rechtsaufsichtlichen Genehmigung des Einvernehmens des Ministeriums des Innern und für Sport des Landes Rheinland-Pfalz und werden unter Hinweis auf das erteilte Einvernehmen im Staatsanzeiger für Rheinland-Pfalz bekanntgegeben.</w:t>
      </w:r>
    </w:p>
    <w:p>
      <w:r>
        <w:rPr>
          <w:color w:val="555555"/>
          <w:sz w:val="17"/>
        </w:rPr>
        <w:t xml:space="preserve">Zitiervorschlag: Art 7 BayRhPfIngVersStV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https://recht.nulegal.eu/gesetze/BayRhPfIngVersStV/7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