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BayRhPfIngVersStV (Bayern) — Anlage des Vermögens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Beratenden Ingenieure des Landes Rheinland-Pfalz zur Bayerischen Ingenieurversorgung-Bau Vom 5./31. März 1998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Vermögen der Ingenieurversorgung, das nach Inkrafttreten dieses Staatsvertrags gebildet wird, soll entsprechend dem Anteil des Beitragsaufkommens der Mitglieder aus dem Land Rheinland-Pfalz am Gesamtbeitragsaufkommen der Ingenieurversorgung im Land Rheinland-Pfalz angelegt werden.</w:t>
      </w:r>
    </w:p>
    <w:p>
      <w:r>
        <w:rPr>
          <w:color w:val="555555"/>
          <w:sz w:val="17"/>
        </w:rPr>
        <w:t xml:space="preserve">Zitiervorschlag: Art 5 BayRhPfIngVersStV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https://recht.nulegal.eu/gesetze/BayRhPfIngVersStV/5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