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BayRettSanV (Bayern)</w:t>
      </w:r>
    </w:p>
    <w:p>
      <w:r>
        <w:rPr>
          <w:color w:val="555555"/>
          <w:sz w:val="18"/>
        </w:rPr>
        <w:t xml:space="preserve">Bayerische Rettungssanitäterverordnung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53 Abs. 1 Nr. 2 des Bayerischen Rettungsdienstgesetzes (BayRDG) vom 22. Juli 2008 (GVBl S. 429, BayRS 215-5-1-I), zuletzt geändert durch § 1 Nr. 190 der Verordnung vom 22. Juli 2014 (GVBl S. 286), erlässt das Bayerische Staatsministerium des Innern, für Bau und Verkehr folgende Verordnung:</w:t>
      </w:r>
    </w:p>
    <w:p>
      <w:r>
        <w:rPr>
          <w:color w:val="555555"/>
          <w:sz w:val="17"/>
        </w:rPr>
        <w:t xml:space="preserve">Zitiervorschlag: Eingangsformel BayRettSanV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https://recht.nulegal.eu/gesetze/BayRettSanV/eingangsformel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