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BayReiSErgG (Bayern)</w:t>
      </w:r>
    </w:p>
    <w:p>
      <w:r>
        <w:rPr>
          <w:color w:val="555555"/>
          <w:sz w:val="18"/>
        </w:rPr>
        <w:t xml:space="preserve">Gesetz zur Ergänzung des Reichssiedlungsgesetzes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Gebühren- und Steuerfreiheit nach § 29 des Reichssiedlungsgesetzes gilt auch für die Fälle, in denen ein Grundstück im Weg der Zwangsversteigerung für Siedlungszwecke erworben wird.</w:t>
      </w:r>
    </w:p>
    <w:p>
      <w:r>
        <w:t xml:space="preserve">[Amtl. Anm.:] BayRS 2331-1-F, BGBl. FN 2331-1</w:t>
      </w:r>
    </w:p>
    <w:p>
      <w:r>
        <w:rPr>
          <w:color w:val="555555"/>
          <w:sz w:val="17"/>
        </w:rPr>
        <w:t xml:space="preserve">Zitiervorschlag: § 8 BayReiSErgG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https://recht.nulegal.eu/gesetze/BayReiSErgG/8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