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BayRealgewerbeG (Bayern)</w:t>
      </w:r>
    </w:p>
    <w:p>
      <w:r>
        <w:rPr>
          <w:color w:val="555555"/>
          <w:sz w:val="18"/>
        </w:rPr>
        <w:t xml:space="preserve">Gesetz über Realgewerbeberechtigungen und den Ausschank eigener Erzeugnisse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dingliche Eigenschaft der zu Recht bestehenden realen und radizierten Gewerbe bleibt unverändert.</w:t>
      </w:r>
    </w:p>
    <w:p>
      <w:r>
        <w:t xml:space="preserve">(2) Reale oder radizierte Gewerbe können durch Stellvertreter ausgeübt oder verpachtet werden.</w:t>
      </w:r>
    </w:p>
    <w:p>
      <w:r>
        <w:rPr>
          <w:color w:val="555555"/>
          <w:sz w:val="17"/>
        </w:rPr>
        <w:t xml:space="preserve">Zitiervorschlag: Art 1 BayRealgewerbeG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https://recht.nulegal.eu/gesetze/BayRealgewerbeG/1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