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BayRadG (Bayern)</w:t>
      </w:r>
    </w:p>
    <w:p>
      <w:r>
        <w:rPr>
          <w:color w:val="555555"/>
          <w:sz w:val="18"/>
        </w:rPr>
        <w:t xml:space="preserve">Bayerisches Radgesetz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BayRadG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https://recht.nulegal.eu/gesetze/BayRadG/eingangsformel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