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6 BayRadG (Bayern) — Sonderbaulast für Radschnellverbindungen</w:t>
      </w:r>
    </w:p>
    <w:p>
      <w:r>
        <w:rPr>
          <w:color w:val="555555"/>
          <w:sz w:val="18"/>
        </w:rPr>
        <w:t xml:space="preserve">Bayerisches Radgesetz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Auf Antrag einer Gemeinde mit bis zu 25 000 Einwohnern kann der Freistaat Bayern durch öffentlich-rechtlichen Vertrag Planung und Bau für im Ausbauplan nach Art. 2 Abs. 2 Satz 2 Nr. 2 enthaltene Radschnellverbindungen übernehmen. Art. 42 Abs. 1 Satz 2 bis 4 des Bayerischen Straßen- und Wegegesetzes gilt entsprechend.</w:t>
      </w:r>
    </w:p>
    <w:p>
      <w:r>
        <w:rPr>
          <w:color w:val="555555"/>
          <w:sz w:val="17"/>
        </w:rPr>
        <w:t xml:space="preserve">Zitiervorschlag: Art 6 BayRadG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https://recht.nulegal.eu/gesetze/BayRadG/6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