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BayRadG (Bayern) — Zentralstelle Radverkehr</w:t>
      </w:r>
    </w:p>
    <w:p>
      <w:r>
        <w:rPr>
          <w:color w:val="555555"/>
          <w:sz w:val="18"/>
        </w:rPr>
        <w:t xml:space="preserve">Bayerisches Radgesetz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Landesbaudirektion Bayern besteht eine Zentralstelle Radverkehr. Die Zentralstelle Radverkehr unterstützt die Gemeinden, Landkreise sowie deren Zusammenschlüsse bei Bedarf bei der Planung und Umsetzung von herausgehobenen Infrastrukturprojekten für den Radverkehr.</w:t>
      </w:r>
    </w:p>
    <w:p>
      <w:r>
        <w:t xml:space="preserve">(2) Zu ihren Aufgaben zählen insbesondere die Koordinierung und Steuerung interkommunaler Radinfrastrukturprojekte sowie die Begleitung und Beratung der in Abs. 1 genannten kommunalen Gebietskörperschaften und deren Zusammenschlüsse.</w:t>
      </w:r>
    </w:p>
    <w:p>
      <w:r>
        <w:rPr>
          <w:color w:val="555555"/>
          <w:sz w:val="17"/>
        </w:rPr>
        <w:t xml:space="preserve">Zitiervorschlag: Art 4 BayRadG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https://recht.nulegal.eu/gesetze/BayRadG/4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