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BayRadG (Bayern) — Ausbau Radinfrastruktur</w:t>
      </w:r>
    </w:p>
    <w:p>
      <w:r>
        <w:rPr>
          <w:color w:val="555555"/>
          <w:sz w:val="18"/>
        </w:rPr>
        <w:t xml:space="preserve">Bayerisches Radgesetz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Anteil des Radverkehrs am Gesamtverkehrsaufkommen soll deutlich erhöht werden. Bis zum Ende des Jahres 2030 sollen in Bayern gegenüber dem Ende des Jahres 2022 1 500 Kilometer neue Radwege gebaut werden.</w:t>
      </w:r>
    </w:p>
    <w:p>
      <w:r>
        <w:t xml:space="preserve">(2) Der Freistaat Bayern baut die Radinfrastruktur in seiner Baulast aus. Er erstellt einen Ausbauplan</w:t>
      </w:r>
    </w:p>
    <w:p>
      <w:r>
        <w:t xml:space="preserve">1. für den Ausbau nach Satz 1 und</w:t>
      </w:r>
    </w:p>
    <w:p>
      <w:r>
        <w:t xml:space="preserve">2. in Abstimmung mit den kommunalen Gebietskörperschaften für den Ausbau von Radschnellverbindungen.</w:t>
      </w:r>
    </w:p>
    <w:p>
      <w:r>
        <w:t xml:space="preserve">Grundlage ist nach Fertigstellung das Radnetz Bayern.</w:t>
      </w:r>
    </w:p>
    <w:p>
      <w:r>
        <w:t xml:space="preserve">(3) Der Freistaat Bayern fördert den Ausbau der Radverbindungen in der Baulast der Gemeinden und Landkreise sowie deren Zusammenschlüsse.</w:t>
      </w:r>
    </w:p>
    <w:p>
      <w:r>
        <w:t xml:space="preserve">(4) Der Freistaat Bayern fördert den Bau und Ausbau von öffentlich zugänglichen Abstellanlagen für Fahrräder an wichtigen Quellen und Zielen des Radverkehrs.</w:t>
      </w:r>
    </w:p>
    <w:p>
      <w:r>
        <w:t xml:space="preserve">(5) Die Finanzierung und Förderung aus Mitteln des Freistaates Bayern erfolgen nach Maßgabe des Staatshaushalts.</w:t>
      </w:r>
    </w:p>
    <w:p>
      <w:r>
        <w:rPr>
          <w:color w:val="555555"/>
          <w:sz w:val="17"/>
        </w:rPr>
        <w:t xml:space="preserve">Zitiervorschlag: Art 2 BayRadG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https://recht.nulegal.eu/gesetze/BayRadG/2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